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WARPONI</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rPr>
      </w:pPr>
      <w:r w:rsidDel="00000000" w:rsidR="00000000" w:rsidRPr="00000000">
        <w:rPr>
          <w:rFonts w:ascii="Verdana" w:cs="Verdana" w:eastAsia="Verdana" w:hAnsi="Verdana"/>
          <w:rtl w:val="0"/>
        </w:rPr>
        <w:t xml:space="preserve">My Little Tabletop: Wargaming is 20% Cooler</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rPr>
      </w:pPr>
      <w:r w:rsidDel="00000000" w:rsidR="00000000" w:rsidRPr="00000000">
        <w:rPr>
          <w:rFonts w:ascii="Verdana" w:cs="Verdana" w:eastAsia="Verdana" w:hAnsi="Verdana"/>
          <w:rtl w:val="0"/>
        </w:rPr>
        <w:t xml:space="preserve">~*</w:t>
      </w:r>
      <w:r w:rsidDel="00000000" w:rsidR="00000000" w:rsidRPr="00000000">
        <w:rPr>
          <w:rFonts w:ascii="Verdana" w:cs="Verdana" w:eastAsia="Verdana" w:hAnsi="Verdana"/>
          <w:sz w:val="20"/>
          <w:szCs w:val="20"/>
          <w:rtl w:val="0"/>
        </w:rPr>
        <w:t xml:space="preserve">Ponychan Collab</w:t>
      </w:r>
      <w:r w:rsidDel="00000000" w:rsidR="00000000" w:rsidRPr="00000000">
        <w:rPr>
          <w:rFonts w:ascii="Verdana" w:cs="Verdana" w:eastAsia="Verdana" w:hAnsi="Verdana"/>
          <w:rtl w:val="0"/>
        </w:rPr>
        <w:t xml:space="preserv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6">
        <w:r w:rsidDel="00000000" w:rsidR="00000000" w:rsidRPr="00000000">
          <w:rPr>
            <w:rFonts w:ascii="Verdana" w:cs="Verdana" w:eastAsia="Verdana" w:hAnsi="Verdana"/>
            <w:color w:val="000099"/>
            <w:u w:val="single"/>
            <w:rtl w:val="0"/>
          </w:rPr>
          <w:t xml:space="preserve">Rulebook</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7">
        <w:r w:rsidDel="00000000" w:rsidR="00000000" w:rsidRPr="00000000">
          <w:rPr>
            <w:rFonts w:ascii="Verdana" w:cs="Verdana" w:eastAsia="Verdana" w:hAnsi="Verdana"/>
            <w:color w:val="000099"/>
            <w:u w:val="single"/>
            <w:rtl w:val="0"/>
          </w:rPr>
          <w:t xml:space="preserve">Character Templates</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8">
        <w:r w:rsidDel="00000000" w:rsidR="00000000" w:rsidRPr="00000000">
          <w:rPr>
            <w:rFonts w:ascii="Verdana" w:cs="Verdana" w:eastAsia="Verdana" w:hAnsi="Verdana"/>
            <w:color w:val="000099"/>
            <w:u w:val="single"/>
            <w:rtl w:val="0"/>
          </w:rPr>
          <w:t xml:space="preserve">Equipment Templates</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9">
        <w:r w:rsidDel="00000000" w:rsidR="00000000" w:rsidRPr="00000000">
          <w:rPr>
            <w:rFonts w:ascii="Verdana" w:cs="Verdana" w:eastAsia="Verdana" w:hAnsi="Verdana"/>
            <w:color w:val="000099"/>
            <w:u w:val="single"/>
            <w:rtl w:val="0"/>
          </w:rPr>
          <w:t xml:space="preserve">Printable Character Sheet</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10">
        <w:r w:rsidDel="00000000" w:rsidR="00000000" w:rsidRPr="00000000">
          <w:rPr>
            <w:rFonts w:ascii="Verdana" w:cs="Verdana" w:eastAsia="Verdana" w:hAnsi="Verdana"/>
            <w:color w:val="000099"/>
            <w:u w:val="single"/>
            <w:rtl w:val="0"/>
          </w:rPr>
          <w:t xml:space="preserve">Notes/Comments</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rPr>
      </w:pPr>
      <w:r w:rsidDel="00000000" w:rsidR="00000000" w:rsidRPr="00000000">
        <w:rPr>
          <w:rFonts w:ascii="Verdana" w:cs="Verdana" w:eastAsia="Verdana" w:hAnsi="Verdana"/>
          <w:rtl w:val="0"/>
        </w:rPr>
        <w:t xml:space="preserv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All equipment listed are with the best possible conditions. Therefor a weapon with a 45° cone would require a Focus stat of 1 to stay the same, a Focus stat of 12 will reduce the cone to 3.75°. To find the correct cone for your character’s Focus stat, simply divide the maximum by the Focus stat.</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Example: </w:t>
      </w:r>
      <w:r w:rsidDel="00000000" w:rsidR="00000000" w:rsidRPr="00000000">
        <w:rPr>
          <w:rFonts w:ascii="Verdana" w:cs="Verdana" w:eastAsia="Verdana" w:hAnsi="Verdana"/>
          <w:i w:val="1"/>
          <w:rtl w:val="0"/>
        </w:rPr>
        <w:t xml:space="preserve">45°/9=</w:t>
      </w:r>
      <w:r w:rsidDel="00000000" w:rsidR="00000000" w:rsidRPr="00000000">
        <w:rPr>
          <w:rFonts w:ascii="Verdana" w:cs="Verdana" w:eastAsia="Verdana" w:hAnsi="Verdana"/>
          <w:rtl w:val="0"/>
        </w:rPr>
        <w:t xml:space="preserve"> 5°</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tl w:val="0"/>
        </w:rPr>
      </w:r>
    </w:p>
    <w:tbl>
      <w:tblPr>
        <w:tblStyle w:val="Table1"/>
        <w:tblW w:w="91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55"/>
        <w:gridCol w:w="5675"/>
        <w:tblGridChange w:id="0">
          <w:tblGrid>
            <w:gridCol w:w="3455"/>
            <w:gridCol w:w="5675"/>
          </w:tblGrid>
        </w:tblGridChange>
      </w:tblGrid>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Equip Name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Item Type (if not armor/weapon)</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Distance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Hit Area</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Restrictions</w:t>
            </w:r>
          </w:p>
        </w:tc>
        <w:tc>
          <w:tcPr>
            <w:shd w:fill="auto" w:val="clear"/>
            <w:tcMar>
              <w:top w:w="60.0" w:type="dxa"/>
              <w:left w:w="60.0" w:type="dxa"/>
              <w:bottom w:w="60.0" w:type="dxa"/>
              <w:right w:w="6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Stat Modifiers</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Skill: Description.</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Basic Leather Armor</w:t>
            </w:r>
          </w:p>
        </w:tc>
        <w:tc>
          <w:tcPr>
            <w:shd w:fill="auto" w:val="clear"/>
            <w:tcMar>
              <w:top w:w="60.0" w:type="dxa"/>
              <w:left w:w="60.0" w:type="dxa"/>
              <w:bottom w:w="60.0" w:type="dxa"/>
              <w:right w:w="6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+1 Spd, +1 Def</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Common Magician’s Robe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Magical-types only</w:t>
            </w:r>
          </w:p>
        </w:tc>
        <w:tc>
          <w:tcPr>
            <w:shd w:fill="auto" w:val="clear"/>
            <w:tcMar>
              <w:top w:w="60.0" w:type="dxa"/>
              <w:left w:w="60.0" w:type="dxa"/>
              <w:bottom w:w="60.0" w:type="dxa"/>
              <w:right w:w="6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+1 Mag, +1 Spd</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Basic Healing Wand</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6” Range</w:t>
            </w:r>
          </w:p>
        </w:tc>
        <w:tc>
          <w:tcPr>
            <w:shd w:fill="auto" w:val="clear"/>
            <w:tcMar>
              <w:top w:w="60.0" w:type="dxa"/>
              <w:left w:w="60.0" w:type="dxa"/>
              <w:bottom w:w="60.0" w:type="dxa"/>
              <w:right w:w="6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+1 Brv, +1 Mag, +1 Foc</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Light Healing: Restores </w:t>
            </w:r>
            <w:r w:rsidDel="00000000" w:rsidR="00000000" w:rsidRPr="00000000">
              <w:rPr>
                <w:rFonts w:ascii="Verdana" w:cs="Verdana" w:eastAsia="Verdana" w:hAnsi="Verdana"/>
                <w:i w:val="1"/>
                <w:rtl w:val="0"/>
              </w:rPr>
              <w:t xml:space="preserve">d6+[Mag+Foc/2]</w:t>
            </w:r>
            <w:r w:rsidDel="00000000" w:rsidR="00000000" w:rsidRPr="00000000">
              <w:rPr>
                <w:rFonts w:ascii="Verdana" w:cs="Verdana" w:eastAsia="Verdana" w:hAnsi="Verdana"/>
                <w:rtl w:val="0"/>
              </w:rPr>
              <w:t xml:space="preserve"> to a single target.</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Basic Revival Staff</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2” Range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Magical-types only</w:t>
            </w:r>
          </w:p>
        </w:tc>
        <w:tc>
          <w:tcPr>
            <w:shd w:fill="auto" w:val="clear"/>
            <w:tcMar>
              <w:top w:w="60.0" w:type="dxa"/>
              <w:left w:w="60.0" w:type="dxa"/>
              <w:bottom w:w="60.0" w:type="dxa"/>
              <w:right w:w="6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+1 Brv, +1 Foc, +1 Spd</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Slow Revival: Restores a single target from KO, requires 1 turn cast.</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Sniper Rifle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36” Range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15° Cone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Scout-Only</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1 per Army</w:t>
            </w:r>
          </w:p>
        </w:tc>
        <w:tc>
          <w:tcPr>
            <w:shd w:fill="auto" w:val="clear"/>
            <w:tcMar>
              <w:top w:w="60.0" w:type="dxa"/>
              <w:left w:w="60.0" w:type="dxa"/>
              <w:bottom w:w="60.0" w:type="dxa"/>
              <w:right w:w="6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+1 Str, +1 Brv, -1 Mag, +2 Foc, -2 Def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Momentum: Can hit an opponent that was standing behind cover of another target at ½ initial damage if first opponent is KO’d.</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Sidearm</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12” Range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15° Cone</w:t>
            </w:r>
          </w:p>
        </w:tc>
        <w:tc>
          <w:tcPr>
            <w:shd w:fill="auto" w:val="clear"/>
            <w:tcMar>
              <w:top w:w="60.0" w:type="dxa"/>
              <w:left w:w="60.0" w:type="dxa"/>
              <w:bottom w:w="60.0" w:type="dxa"/>
              <w:right w:w="6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+2 Brv, -2 Mag, +1 Spd</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Quick Reflexes: A successful hit grants an extra d6 (max twice).</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Gatling</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16” Range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120° Cone</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2 per Army</w:t>
            </w:r>
          </w:p>
        </w:tc>
        <w:tc>
          <w:tcPr>
            <w:shd w:fill="auto" w:val="clear"/>
            <w:tcMar>
              <w:top w:w="60.0" w:type="dxa"/>
              <w:left w:w="60.0" w:type="dxa"/>
              <w:bottom w:w="60.0" w:type="dxa"/>
              <w:right w:w="6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+3 Brv, -3 Mag, -2 Spd, -1 Foc, -1 Def</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Heavy Weapon: Increased range by 4”, but requires Total Strength of 5 or more to use.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Flawless Victory: Hitting all targets in range with damage grants a +2 Attack and Defense to the unit until its next turn.</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c>
          <w:tcPr>
            <w:shd w:fill="auto" w:val="clear"/>
            <w:tcMar>
              <w:top w:w="60.0" w:type="dxa"/>
              <w:left w:w="60.0" w:type="dxa"/>
              <w:bottom w:w="60.0" w:type="dxa"/>
              <w:right w:w="6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Combat Sword</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1” Range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90° Cone</w:t>
            </w:r>
          </w:p>
        </w:tc>
        <w:tc>
          <w:tcPr>
            <w:shd w:fill="auto" w:val="clear"/>
            <w:tcMar>
              <w:top w:w="60.0" w:type="dxa"/>
              <w:left w:w="60.0" w:type="dxa"/>
              <w:bottom w:w="60.0" w:type="dxa"/>
              <w:right w:w="6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+2 Str, +2 Brv, -3 Mag, -1 Spd, +1 Foc</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Elemental Enhancement: A magic-user equipped with this sword is granted an additional d3 of Elemental Damage.</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Claymore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2” Range</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180° Cone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1 per Army</w:t>
            </w:r>
          </w:p>
        </w:tc>
        <w:tc>
          <w:tcPr>
            <w:shd w:fill="auto" w:val="clear"/>
            <w:tcMar>
              <w:top w:w="60.0" w:type="dxa"/>
              <w:left w:w="60.0" w:type="dxa"/>
              <w:bottom w:w="60.0" w:type="dxa"/>
              <w:right w:w="6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+3 Brv, -4 Mag, -4 Spd, +1 Foc, +1 Def</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Bigger is Better: Increased Melee Range and Defense by +1, but requires Strength of 6 or more to use.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Spinning Strike: Attack Cone becomes 360° for 1 turn if Critical Success is achieved. 2+ initial targets required.</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Sword in Stone: If no attacks cause damage, unit loses 1 turn.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Medic’s Kit</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Artifact</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6” Range</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360° Cone</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Support only</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1 Per Army</w:t>
            </w:r>
          </w:p>
        </w:tc>
        <w:tc>
          <w:tcPr>
            <w:shd w:fill="auto" w:val="clear"/>
            <w:tcMar>
              <w:top w:w="60.0" w:type="dxa"/>
              <w:left w:w="60.0" w:type="dxa"/>
              <w:bottom w:w="60.0" w:type="dxa"/>
              <w:right w:w="6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-2 Str, +1 Brv, +2 Mag, +2 Foc, -2 Def</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Bandage: Restores </w:t>
            </w:r>
            <w:r w:rsidDel="00000000" w:rsidR="00000000" w:rsidRPr="00000000">
              <w:rPr>
                <w:rFonts w:ascii="Verdana" w:cs="Verdana" w:eastAsia="Verdana" w:hAnsi="Verdana"/>
                <w:i w:val="1"/>
                <w:rtl w:val="0"/>
              </w:rPr>
              <w:t xml:space="preserve">6d+[Mag+Foc/4]</w:t>
            </w:r>
            <w:r w:rsidDel="00000000" w:rsidR="00000000" w:rsidRPr="00000000">
              <w:rPr>
                <w:rFonts w:ascii="Verdana" w:cs="Verdana" w:eastAsia="Verdana" w:hAnsi="Verdana"/>
                <w:rtl w:val="0"/>
              </w:rPr>
              <w:t xml:space="preserve"> to a single target.</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Triage: Roll a 12d after healing a target, if the roll is lesser than </w:t>
            </w:r>
            <w:r w:rsidDel="00000000" w:rsidR="00000000" w:rsidRPr="00000000">
              <w:rPr>
                <w:rFonts w:ascii="Verdana" w:cs="Verdana" w:eastAsia="Verdana" w:hAnsi="Verdana"/>
                <w:i w:val="1"/>
                <w:rtl w:val="0"/>
              </w:rPr>
              <w:t xml:space="preserve">Foc–3</w:t>
            </w:r>
            <w:r w:rsidDel="00000000" w:rsidR="00000000" w:rsidRPr="00000000">
              <w:rPr>
                <w:rFonts w:ascii="Verdana" w:cs="Verdana" w:eastAsia="Verdana" w:hAnsi="Verdana"/>
                <w:rtl w:val="0"/>
              </w:rPr>
              <w:t xml:space="preserve"> you may heal another target.</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Mage’s Staff</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Magic Weapon</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12” Range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45° Cone</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Mage-only Weapon</w:t>
            </w:r>
          </w:p>
        </w:tc>
        <w:tc>
          <w:tcPr>
            <w:shd w:fill="auto" w:val="clear"/>
            <w:tcMar>
              <w:top w:w="60.0" w:type="dxa"/>
              <w:left w:w="60.0" w:type="dxa"/>
              <w:bottom w:w="60.0" w:type="dxa"/>
              <w:right w:w="6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+2 Mag, -1 Spd, +1 Foc, -1 Def</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Rebound: If a Spell causes no damage, roll a d6 if it is a 5~6 that spells strikes another target within 2” for the same attack power. If there is no damage again, the spell is ended.</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Combat Armor</w:t>
            </w:r>
          </w:p>
        </w:tc>
        <w:tc>
          <w:tcPr>
            <w:shd w:fill="auto" w:val="clear"/>
            <w:tcMar>
              <w:top w:w="60.0" w:type="dxa"/>
              <w:left w:w="60.0" w:type="dxa"/>
              <w:bottom w:w="60.0" w:type="dxa"/>
              <w:right w:w="6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-2 Spd, +2 Def</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Thick Armor: -2 Damage from Projectile attacks.</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Scribe’s Robe</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Magical-types only</w:t>
            </w:r>
          </w:p>
        </w:tc>
        <w:tc>
          <w:tcPr>
            <w:shd w:fill="auto" w:val="clear"/>
            <w:tcMar>
              <w:top w:w="60.0" w:type="dxa"/>
              <w:left w:w="60.0" w:type="dxa"/>
              <w:bottom w:w="60.0" w:type="dxa"/>
              <w:right w:w="6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+1 Spd, +1 Def</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Pen is Mightier: Cannot equip a weapon.</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Combat Knowledge: Every 3rd turn the equipped unit is in play, +1 to Mag, Brv and Foc is granted to the equipped unit. Resets when KO’d.</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c>
          <w:tcPr>
            <w:shd w:fill="auto" w:val="clear"/>
            <w:tcMar>
              <w:top w:w="60.0" w:type="dxa"/>
              <w:left w:w="60.0" w:type="dxa"/>
              <w:bottom w:w="60.0" w:type="dxa"/>
              <w:right w:w="6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Elite Warrior’s Tactical Armor</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Heroes or Legends only</w:t>
            </w:r>
          </w:p>
        </w:tc>
        <w:tc>
          <w:tcPr>
            <w:shd w:fill="auto" w:val="clear"/>
            <w:tcMar>
              <w:top w:w="60.0" w:type="dxa"/>
              <w:left w:w="60.0" w:type="dxa"/>
              <w:bottom w:w="60.0" w:type="dxa"/>
              <w:right w:w="6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jc w:val="center"/>
              <w:rPr>
                <w:rFonts w:ascii="Verdana" w:cs="Verdana" w:eastAsia="Verdana" w:hAnsi="Verdana"/>
              </w:rPr>
            </w:pPr>
            <w:r w:rsidDel="00000000" w:rsidR="00000000" w:rsidRPr="00000000">
              <w:rPr>
                <w:rFonts w:ascii="Verdana" w:cs="Verdana" w:eastAsia="Verdana" w:hAnsi="Verdana"/>
                <w:rtl w:val="0"/>
              </w:rPr>
              <w:t xml:space="preserve">+3 Str, +2 Brv, -4 Mag, -1 Foc, -1 Spd, +2 Def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Solid Stance: Unit cannot be knocked down by standard Stun attacks, nor hindered by rough terrain.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Ridiculous Outfit</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Heroes or Legends only</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1 per Army</w:t>
            </w:r>
          </w:p>
        </w:tc>
        <w:tc>
          <w:tcPr>
            <w:shd w:fill="auto" w:val="clear"/>
            <w:tcMar>
              <w:top w:w="60.0" w:type="dxa"/>
              <w:left w:w="60.0" w:type="dxa"/>
              <w:bottom w:w="60.0" w:type="dxa"/>
              <w:right w:w="6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-1 Str, +4 Brv, -1 Mag, -1 Spd, +4 Foc, +2 Def</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Confusion: The ridiculousness of your 'armor' causes all opponents within 12” to require a d6 roll of 4~6 to be able to attack the squad. Failure results in the attacking troop falling to uncontrollable laughter (Stun and Def-2) for a single turn. After the 3rd roll, it’s has no effect on the attacking unit.</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ind w:left="60" w:firstLine="0"/>
              <w:rPr>
                <w:rFonts w:ascii="Verdana" w:cs="Verdana" w:eastAsia="Verdana" w:hAnsi="Verdana"/>
              </w:rPr>
            </w:pPr>
            <w:r w:rsidDel="00000000" w:rsidR="00000000" w:rsidRPr="00000000">
              <w:rPr>
                <w:rFonts w:ascii="Verdana" w:cs="Verdana" w:eastAsia="Verdana" w:hAnsi="Verdana"/>
                <w:rtl w:val="0"/>
              </w:rPr>
              <w:t xml:space="preserve"> Dragon’s Rage: All dragons within 12” will be unable to attack anything except the Ridiculous unit.</w:t>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c>
          <w:tcPr>
            <w:shd w:fill="auto" w:val="clear"/>
            <w:tcMar>
              <w:top w:w="60.0" w:type="dxa"/>
              <w:left w:w="60.0" w:type="dxa"/>
              <w:bottom w:w="60.0" w:type="dxa"/>
              <w:right w:w="6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60.0" w:type="dxa"/>
              <w:left w:w="60.0" w:type="dxa"/>
              <w:bottom w:w="60.0" w:type="dxa"/>
              <w:right w:w="6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c>
          <w:tcPr>
            <w:shd w:fill="auto" w:val="clear"/>
            <w:tcMar>
              <w:top w:w="60.0" w:type="dxa"/>
              <w:left w:w="60.0" w:type="dxa"/>
              <w:bottom w:w="60.0" w:type="dxa"/>
              <w:right w:w="6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These documents are made by fans for entertainment only, no profit is made nor infringement intended.</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This game and all information is for Alpha Testing phase only and are nowhere near complete. If you find any imbalances, errors, or just wanna give some constructive criticism feel free to email me.</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Contact the game creator, Blue Roses </w:t>
      </w:r>
      <w:hyperlink r:id="rId11">
        <w:r w:rsidDel="00000000" w:rsidR="00000000" w:rsidRPr="00000000">
          <w:rPr>
            <w:rFonts w:ascii="Verdana" w:cs="Verdana" w:eastAsia="Verdana" w:hAnsi="Verdana"/>
            <w:color w:val="000099"/>
            <w:u w:val="single"/>
            <w:rtl w:val="0"/>
          </w:rPr>
          <w:t xml:space="preserve">here</w:t>
        </w:r>
      </w:hyperlink>
      <w:r w:rsidDel="00000000" w:rsidR="00000000" w:rsidRPr="00000000">
        <w:rPr>
          <w:rFonts w:ascii="Verdana" w:cs="Verdana" w:eastAsia="Verdana" w:hAnsi="Verdana"/>
          <w:rtl w:val="0"/>
        </w:rPr>
        <w:t xml:space="preserve"> or:</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rtl w:val="0"/>
        </w:rPr>
        <w:t xml:space="preserve">duelfuel2@gmail.com</w:t>
      </w:r>
      <w:r w:rsidDel="00000000" w:rsidR="00000000" w:rsidRPr="00000000">
        <w:rPr>
          <w:rtl w:val="0"/>
        </w:rPr>
      </w:r>
    </w:p>
    <w:sectPr>
      <w:pgSz w:h="15840" w:w="12240" w:orient="portrait"/>
      <w:pgMar w:bottom="1134" w:top="1134"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ocs.google.com/document/d/1FNfaPQBz0QDSK9oM6bLKTbpHUk2mrslWpO_GE84sUOM/edit?hl=en_US" TargetMode="External"/><Relationship Id="rId10" Type="http://schemas.openxmlformats.org/officeDocument/2006/relationships/hyperlink" Target="https://docs.google.com/document/d/1FNfaPQBz0QDSK9oM6bLKTbpHUk2mrslWpO_GE84sUOM/edit?hl=en_US" TargetMode="External"/><Relationship Id="rId9" Type="http://schemas.openxmlformats.org/officeDocument/2006/relationships/hyperlink" Target="https://docs.google.com/document/d/1Y9u0tP2m41nHpsh6hGYF50tO8_U8sMFHsWZ9dM8riHU/edit?hl=en_US" TargetMode="External"/><Relationship Id="rId5" Type="http://schemas.openxmlformats.org/officeDocument/2006/relationships/styles" Target="styles.xml"/><Relationship Id="rId6" Type="http://schemas.openxmlformats.org/officeDocument/2006/relationships/hyperlink" Target="https://docs.google.com/document/d/1E8ga3vTmjC_JWRpa13P7e-lzS_Y7sSNLkP81YyWC_Vs/edit?hl=en_US" TargetMode="External"/><Relationship Id="rId7" Type="http://schemas.openxmlformats.org/officeDocument/2006/relationships/hyperlink" Target="https://docs.google.com/document/d/1SXqREFurPa2GohRQ0Qh4A3vRZYCUda93BLXio7WfYtU/edit?hl=en_US" TargetMode="External"/><Relationship Id="rId8" Type="http://schemas.openxmlformats.org/officeDocument/2006/relationships/hyperlink" Target="https://docs.google.com/document/d/1VqAevZE12ij_O-hy88gU4MGjzodG5RQZkZin5wj-R28/edit?hl=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